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61"/>
        <w:bidiVisual/>
        <w:tblW w:w="10774" w:type="dxa"/>
        <w:tblLook w:val="04A0" w:firstRow="1" w:lastRow="0" w:firstColumn="1" w:lastColumn="0" w:noHBand="0" w:noVBand="1"/>
      </w:tblPr>
      <w:tblGrid>
        <w:gridCol w:w="2693"/>
        <w:gridCol w:w="2694"/>
        <w:gridCol w:w="2835"/>
        <w:gridCol w:w="2552"/>
      </w:tblGrid>
      <w:tr w:rsidR="00F833F0" w:rsidTr="00F833F0">
        <w:trPr>
          <w:trHeight w:val="845"/>
        </w:trPr>
        <w:tc>
          <w:tcPr>
            <w:tcW w:w="2693" w:type="dxa"/>
          </w:tcPr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</w:p>
          <w:p w:rsidR="00F833F0" w:rsidRPr="00C1692C" w:rsidRDefault="00994D64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  <w:r w:rsidR="00F833F0" w:rsidRPr="00C1692C">
              <w:rPr>
                <w:rFonts w:cs="B Nazanin" w:hint="cs"/>
                <w:b/>
                <w:bCs/>
                <w:rtl/>
              </w:rPr>
              <w:t>: ......./......./.......</w:t>
            </w:r>
          </w:p>
        </w:tc>
        <w:tc>
          <w:tcPr>
            <w:tcW w:w="2694" w:type="dxa"/>
          </w:tcPr>
          <w:p w:rsidR="00F833F0" w:rsidRPr="00C1692C" w:rsidRDefault="00994D64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پذیرش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</w:p>
          <w:p w:rsidR="00F833F0" w:rsidRPr="00C1692C" w:rsidRDefault="00994D64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ارسالی از</w:t>
            </w:r>
            <w:r w:rsidR="00F833F0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835" w:type="dxa"/>
          </w:tcPr>
          <w:p w:rsidR="00F833F0" w:rsidRPr="00C1692C" w:rsidRDefault="00994D64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بیمار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</w:p>
          <w:p w:rsidR="00F833F0" w:rsidRPr="00C1692C" w:rsidRDefault="00994D64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سن بیمار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552" w:type="dxa"/>
          </w:tcPr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</w:p>
          <w:p w:rsidR="00F833F0" w:rsidRPr="00C1692C" w:rsidRDefault="00994D64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نمونه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833F0" w:rsidTr="00F833F0">
        <w:trPr>
          <w:trHeight w:val="926"/>
        </w:trPr>
        <w:tc>
          <w:tcPr>
            <w:tcW w:w="5387" w:type="dxa"/>
            <w:gridSpan w:val="2"/>
          </w:tcPr>
          <w:p w:rsidR="00F833F0" w:rsidRPr="00F833F0" w:rsidRDefault="00F833F0" w:rsidP="00F833F0">
            <w:pPr>
              <w:jc w:val="center"/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t>تاریخ و ساعت خونگیری در آزمایشگاه ارسالی:</w:t>
            </w:r>
          </w:p>
          <w:p w:rsidR="00F833F0" w:rsidRPr="00F833F0" w:rsidRDefault="00F833F0" w:rsidP="00F833F0">
            <w:pPr>
              <w:jc w:val="center"/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t>(برای ترانسلوکاسیون ها الزامی می باشد)</w:t>
            </w:r>
          </w:p>
          <w:p w:rsidR="00F833F0" w:rsidRPr="00C1692C" w:rsidRDefault="00F833F0" w:rsidP="00F833F0">
            <w:pPr>
              <w:tabs>
                <w:tab w:val="center" w:pos="1904"/>
              </w:tabs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..... / ..... / .....</w:t>
            </w:r>
            <w:r w:rsidRPr="00F833F0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F83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ساعت ...... / ......</w:t>
            </w:r>
          </w:p>
        </w:tc>
        <w:tc>
          <w:tcPr>
            <w:tcW w:w="5387" w:type="dxa"/>
            <w:gridSpan w:val="2"/>
          </w:tcPr>
          <w:p w:rsidR="00F833F0" w:rsidRPr="00F833F0" w:rsidRDefault="00F833F0" w:rsidP="00F833F0">
            <w:pPr>
              <w:bidi w:val="0"/>
              <w:jc w:val="right"/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t>تاریخ و ساع</w:t>
            </w:r>
            <w:r w:rsidR="00994D64">
              <w:rPr>
                <w:rFonts w:cs="B Nazanin" w:hint="cs"/>
                <w:b/>
                <w:bCs/>
                <w:rtl/>
              </w:rPr>
              <w:t>ت ارسال نمونه در آزمایشگاه حکیم</w:t>
            </w:r>
            <w:r w:rsidRPr="00F833F0">
              <w:rPr>
                <w:rFonts w:cs="B Nazanin" w:hint="cs"/>
                <w:b/>
                <w:bCs/>
                <w:rtl/>
              </w:rPr>
              <w:t xml:space="preserve">: </w:t>
            </w:r>
          </w:p>
          <w:p w:rsidR="00F833F0" w:rsidRPr="00F833F0" w:rsidRDefault="00F833F0" w:rsidP="00F833F0">
            <w:pPr>
              <w:bidi w:val="0"/>
              <w:rPr>
                <w:rFonts w:cs="B Nazanin"/>
                <w:b/>
                <w:bCs/>
              </w:rPr>
            </w:pPr>
          </w:p>
          <w:p w:rsidR="00F833F0" w:rsidRPr="00F833F0" w:rsidRDefault="00F833F0" w:rsidP="00F833F0">
            <w:pPr>
              <w:tabs>
                <w:tab w:val="center" w:pos="2514"/>
                <w:tab w:val="right" w:pos="5029"/>
              </w:tabs>
              <w:bidi w:val="0"/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/>
                <w:b/>
                <w:bCs/>
              </w:rPr>
              <w:tab/>
            </w:r>
            <w:r w:rsidRPr="00F833F0">
              <w:rPr>
                <w:rFonts w:cs="B Nazanin" w:hint="cs"/>
                <w:b/>
                <w:bCs/>
                <w:rtl/>
              </w:rPr>
              <w:t>ساعت : .... : .....</w:t>
            </w:r>
            <w:r w:rsidRPr="00F833F0">
              <w:rPr>
                <w:rFonts w:cs="B Nazanin"/>
                <w:b/>
                <w:bCs/>
              </w:rPr>
              <w:tab/>
            </w:r>
            <w:r w:rsidRPr="00F833F0">
              <w:rPr>
                <w:rFonts w:cs="B Nazanin" w:hint="cs"/>
                <w:b/>
                <w:bCs/>
                <w:rtl/>
              </w:rPr>
              <w:t>..... / ..... / .....</w:t>
            </w:r>
          </w:p>
          <w:p w:rsidR="00F833F0" w:rsidRPr="00F833F0" w:rsidRDefault="00F833F0" w:rsidP="00F833F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013E8" w:rsidRDefault="00E013E8"/>
    <w:tbl>
      <w:tblPr>
        <w:tblStyle w:val="TableGrid"/>
        <w:tblpPr w:leftFromText="180" w:rightFromText="180" w:vertAnchor="text" w:horzAnchor="margin" w:tblpXSpec="center" w:tblpY="27"/>
        <w:bidiVisual/>
        <w:tblW w:w="10775" w:type="dxa"/>
        <w:tblLook w:val="04A0" w:firstRow="1" w:lastRow="0" w:firstColumn="1" w:lastColumn="0" w:noHBand="0" w:noVBand="1"/>
      </w:tblPr>
      <w:tblGrid>
        <w:gridCol w:w="10775"/>
      </w:tblGrid>
      <w:tr w:rsidR="00F833F0" w:rsidTr="00F833F0">
        <w:trPr>
          <w:trHeight w:val="552"/>
        </w:trPr>
        <w:tc>
          <w:tcPr>
            <w:tcW w:w="10775" w:type="dxa"/>
          </w:tcPr>
          <w:p w:rsidR="00F833F0" w:rsidRPr="00C1692C" w:rsidRDefault="00994D64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علت  درخواست آزمایش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833F0" w:rsidTr="00F833F0">
        <w:trPr>
          <w:trHeight w:val="1113"/>
        </w:trPr>
        <w:tc>
          <w:tcPr>
            <w:tcW w:w="10775" w:type="dxa"/>
          </w:tcPr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  <w:r w:rsidRPr="00C1692C">
              <w:rPr>
                <w:rFonts w:cs="B Nazanin" w:hint="cs"/>
                <w:b/>
                <w:bCs/>
                <w:rtl/>
              </w:rPr>
              <w:t>سابقه احتمال</w:t>
            </w:r>
            <w:r w:rsidR="00994D64">
              <w:rPr>
                <w:rFonts w:cs="B Nazanin" w:hint="cs"/>
                <w:b/>
                <w:bCs/>
                <w:rtl/>
              </w:rPr>
              <w:t>ی ابتلا (به چه نحو و چه تاریخ )</w:t>
            </w:r>
            <w:r w:rsidRPr="00C1692C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C1692C">
              <w:rPr>
                <w:rFonts w:cs="B Nazanin" w:hint="cs"/>
                <w:b/>
                <w:bCs/>
                <w:rtl/>
              </w:rPr>
              <w:t xml:space="preserve"> ....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C1692C">
              <w:rPr>
                <w:rFonts w:cs="B Nazanin" w:hint="cs"/>
                <w:b/>
                <w:bCs/>
                <w:rtl/>
              </w:rPr>
              <w:t xml:space="preserve"> / ..... / .....</w:t>
            </w:r>
          </w:p>
          <w:p w:rsidR="00F833F0" w:rsidRPr="00C1692C" w:rsidRDefault="00F833F0" w:rsidP="00F833F0">
            <w:pPr>
              <w:tabs>
                <w:tab w:val="left" w:pos="1899"/>
                <w:tab w:val="left" w:pos="4929"/>
                <w:tab w:val="center" w:pos="6979"/>
                <w:tab w:val="left" w:pos="11934"/>
              </w:tabs>
              <w:rPr>
                <w:rFonts w:cs="B Nazanin"/>
                <w:b/>
                <w:bCs/>
                <w:rtl/>
              </w:rPr>
            </w:pPr>
          </w:p>
          <w:p w:rsidR="00F833F0" w:rsidRPr="00C1692C" w:rsidRDefault="00F833F0" w:rsidP="00F833F0">
            <w:pPr>
              <w:tabs>
                <w:tab w:val="left" w:pos="1899"/>
                <w:tab w:val="left" w:pos="4929"/>
                <w:tab w:val="center" w:pos="6979"/>
                <w:tab w:val="left" w:pos="11934"/>
              </w:tabs>
              <w:rPr>
                <w:rFonts w:cs="B Nazanin"/>
                <w:b/>
                <w:bCs/>
                <w:rtl/>
              </w:rPr>
            </w:pPr>
            <w:r w:rsidRPr="00C1692C">
              <w:rPr>
                <w:rFonts w:cs="B Nazanin" w:hint="cs"/>
                <w:b/>
                <w:bCs/>
                <w:rtl/>
              </w:rPr>
              <w:t xml:space="preserve">ترومبوز عروقی </w:t>
            </w:r>
            <w:r w:rsidRPr="00C1692C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C1692C">
              <w:rPr>
                <w:rFonts w:cs="B Nazanin" w:hint="cs"/>
                <w:b/>
                <w:bCs/>
                <w:rtl/>
              </w:rPr>
              <w:t xml:space="preserve">بیماری های قلب و عروق </w:t>
            </w:r>
            <w:r w:rsidRPr="00C1692C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C1692C">
              <w:rPr>
                <w:rFonts w:cs="B Nazanin" w:hint="cs"/>
                <w:b/>
                <w:bCs/>
                <w:rtl/>
              </w:rPr>
              <w:t xml:space="preserve">سقط جنین </w:t>
            </w:r>
            <w:r w:rsidRPr="00C1692C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 w:rsidRPr="00C1692C">
              <w:rPr>
                <w:rFonts w:cs="B Nazanin"/>
                <w:b/>
                <w:bCs/>
                <w:rtl/>
              </w:rPr>
              <w:tab/>
            </w:r>
            <w:r w:rsidRPr="00C1692C">
              <w:rPr>
                <w:rFonts w:cs="B Nazanin" w:hint="cs"/>
                <w:b/>
                <w:bCs/>
                <w:rtl/>
              </w:rPr>
              <w:t xml:space="preserve">مقاومت دارویی به فنی توئین ، تالبوتامید ، لوزارتان ، وارفارین یا دیازپام </w:t>
            </w:r>
            <w:r w:rsidRPr="00C1692C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C1692C">
              <w:rPr>
                <w:rFonts w:cs="B Nazanin" w:hint="cs"/>
                <w:b/>
                <w:bCs/>
                <w:rtl/>
              </w:rPr>
              <w:t xml:space="preserve">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</w:p>
          <w:p w:rsidR="00F833F0" w:rsidRPr="00C1692C" w:rsidRDefault="00F833F0" w:rsidP="00F833F0">
            <w:pPr>
              <w:tabs>
                <w:tab w:val="left" w:pos="1899"/>
                <w:tab w:val="left" w:pos="4929"/>
                <w:tab w:val="center" w:pos="6979"/>
                <w:tab w:val="left" w:pos="11934"/>
              </w:tabs>
              <w:rPr>
                <w:rFonts w:cs="B Nazanin"/>
                <w:b/>
                <w:bCs/>
                <w:rtl/>
              </w:rPr>
            </w:pPr>
            <w:r w:rsidRPr="00C1692C">
              <w:rPr>
                <w:rFonts w:cs="B Nazanin" w:hint="cs"/>
                <w:b/>
                <w:bCs/>
                <w:rtl/>
              </w:rPr>
              <w:t>سایر (ذکر شود)</w:t>
            </w:r>
          </w:p>
        </w:tc>
      </w:tr>
    </w:tbl>
    <w:p w:rsidR="00C37A7C" w:rsidRDefault="00C37A7C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24"/>
        <w:bidiVisual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F833F0" w:rsidTr="00F833F0">
        <w:trPr>
          <w:trHeight w:val="3257"/>
        </w:trPr>
        <w:tc>
          <w:tcPr>
            <w:tcW w:w="10774" w:type="dxa"/>
          </w:tcPr>
          <w:p w:rsidR="00F833F0" w:rsidRPr="00F833F0" w:rsidRDefault="00994D64" w:rsidP="00F833F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 های مورد درخواست</w:t>
            </w:r>
            <w:r w:rsidR="00F833F0">
              <w:rPr>
                <w:rFonts w:cs="B Nazanin" w:hint="cs"/>
                <w:b/>
                <w:bCs/>
                <w:rtl/>
              </w:rPr>
              <w:t>:</w:t>
            </w:r>
          </w:p>
          <w:p w:rsidR="00F833F0" w:rsidRPr="00F833F0" w:rsidRDefault="00F833F0" w:rsidP="00F833F0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</w:rPr>
              <w:t>Chromosome translocation</w:t>
            </w:r>
            <w:r w:rsidRPr="00F833F0">
              <w:rPr>
                <w:rFonts w:asciiTheme="majorBidi" w:hAnsiTheme="majorBidi" w:cstheme="majorBidi"/>
              </w:rPr>
              <w:tab/>
              <w:t>Gene mutation</w:t>
            </w:r>
          </w:p>
          <w:p w:rsidR="00F833F0" w:rsidRPr="00F833F0" w:rsidRDefault="00F833F0" w:rsidP="00F833F0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 xml:space="preserve">BCR/ABL (P210) t(9-22) , CML  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□  </w:t>
            </w:r>
            <w:r w:rsidRPr="00F833F0">
              <w:rPr>
                <w:rFonts w:asciiTheme="majorBidi" w:hAnsiTheme="majorBidi" w:cstheme="majorBidi"/>
              </w:rPr>
              <w:t xml:space="preserve">Factor V </w:t>
            </w:r>
            <w:proofErr w:type="spellStart"/>
            <w:r w:rsidRPr="00F833F0">
              <w:rPr>
                <w:rFonts w:asciiTheme="majorBidi" w:hAnsiTheme="majorBidi" w:cstheme="majorBidi"/>
              </w:rPr>
              <w:t>leiden</w:t>
            </w:r>
            <w:proofErr w:type="spellEnd"/>
            <w:r w:rsidRPr="00F833F0">
              <w:rPr>
                <w:rFonts w:asciiTheme="majorBidi" w:hAnsiTheme="majorBidi" w:cstheme="majorBidi"/>
              </w:rPr>
              <w:t xml:space="preserve"> mutation</w:t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F833F0" w:rsidRPr="00F833F0" w:rsidRDefault="00F833F0" w:rsidP="00F833F0">
            <w:pPr>
              <w:tabs>
                <w:tab w:val="left" w:pos="3225"/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>BCR/ABL (P190) t(9-22) , ALL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 xml:space="preserve">Factor </w:t>
            </w:r>
            <w:proofErr w:type="spellStart"/>
            <w:r w:rsidRPr="00F833F0">
              <w:rPr>
                <w:rFonts w:asciiTheme="majorBidi" w:hAnsiTheme="majorBidi" w:cstheme="majorBidi"/>
              </w:rPr>
              <w:t>ll</w:t>
            </w:r>
            <w:proofErr w:type="spellEnd"/>
            <w:r w:rsidRPr="00F833F0">
              <w:rPr>
                <w:rFonts w:asciiTheme="majorBidi" w:hAnsiTheme="majorBidi" w:cstheme="majorBidi"/>
              </w:rPr>
              <w:t xml:space="preserve"> GA20210 mutation</w:t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F833F0" w:rsidRPr="00F833F0" w:rsidRDefault="00F833F0" w:rsidP="00F833F0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 xml:space="preserve">PML/RAR t(15-17) , AML-3         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 xml:space="preserve">MTHFR A 1298C mutation  </w:t>
            </w:r>
          </w:p>
          <w:p w:rsidR="00F833F0" w:rsidRPr="00F833F0" w:rsidRDefault="00F833F0" w:rsidP="00F833F0">
            <w:pPr>
              <w:tabs>
                <w:tab w:val="left" w:pos="3285"/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 xml:space="preserve">AML 1 /ETO t(8-21) , AML – 2 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 xml:space="preserve">MTHFR C677C mutation   </w:t>
            </w:r>
          </w:p>
          <w:p w:rsidR="00F833F0" w:rsidRPr="00F833F0" w:rsidRDefault="00F833F0" w:rsidP="00F833F0">
            <w:pPr>
              <w:tabs>
                <w:tab w:val="left" w:pos="3795"/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 xml:space="preserve">CBFB/MYH11 </w:t>
            </w:r>
            <w:proofErr w:type="spellStart"/>
            <w:r w:rsidRPr="00F833F0">
              <w:rPr>
                <w:rFonts w:asciiTheme="majorBidi" w:hAnsiTheme="majorBidi" w:cstheme="majorBidi"/>
              </w:rPr>
              <w:t>inv</w:t>
            </w:r>
            <w:proofErr w:type="spellEnd"/>
            <w:r w:rsidRPr="00F833F0">
              <w:rPr>
                <w:rFonts w:asciiTheme="majorBidi" w:hAnsiTheme="majorBidi" w:cstheme="majorBidi"/>
              </w:rPr>
              <w:t xml:space="preserve"> (16) , AML – 4 EO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>PAI mutation</w:t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  <w:p w:rsidR="00F833F0" w:rsidRPr="00F833F0" w:rsidRDefault="00F833F0" w:rsidP="00F833F0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>JAK2 PCR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□ </w:t>
            </w:r>
            <w:r w:rsidRPr="00F833F0">
              <w:rPr>
                <w:rFonts w:asciiTheme="majorBidi" w:hAnsiTheme="majorBidi" w:cstheme="majorBidi"/>
                <w:sz w:val="20"/>
                <w:szCs w:val="20"/>
              </w:rPr>
              <w:t xml:space="preserve">Cytochrome P450 mutation (Drug </w:t>
            </w:r>
            <w:r w:rsidRPr="00F833F0">
              <w:rPr>
                <w:rFonts w:asciiTheme="majorBidi" w:hAnsiTheme="majorBidi" w:cstheme="majorBidi"/>
              </w:rPr>
              <w:t>resistance)</w:t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F833F0" w:rsidRPr="00F833F0" w:rsidRDefault="00F833F0" w:rsidP="00F833F0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>TPMT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 xml:space="preserve">Factor VII   </w:t>
            </w:r>
          </w:p>
          <w:p w:rsidR="00F833F0" w:rsidRPr="00F833F0" w:rsidRDefault="00F833F0" w:rsidP="00F833F0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833F0">
              <w:rPr>
                <w:rFonts w:asciiTheme="majorBidi" w:hAnsiTheme="majorBidi" w:cstheme="majorBidi"/>
              </w:rPr>
              <w:t>Factor XIII</w:t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  <w:p w:rsidR="00F833F0" w:rsidRPr="00BF10C9" w:rsidRDefault="00F833F0" w:rsidP="00F833F0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E646A">
              <w:rPr>
                <w:rFonts w:asciiTheme="majorBidi" w:hAnsiTheme="majorBidi" w:cstheme="majorBidi"/>
                <w:sz w:val="24"/>
                <w:szCs w:val="24"/>
              </w:rPr>
              <w:t>□</w:t>
            </w:r>
            <w:r w:rsidRPr="002E646A">
              <w:rPr>
                <w:rFonts w:asciiTheme="majorBidi" w:hAnsiTheme="majorBidi" w:cstheme="majorBidi"/>
                <w:sz w:val="24"/>
                <w:szCs w:val="24"/>
                <w:rtl/>
              </w:rPr>
              <w:t>β</w:t>
            </w:r>
            <w:r w:rsidRPr="002E646A">
              <w:rPr>
                <w:rFonts w:asciiTheme="majorBidi" w:hAnsiTheme="majorBidi" w:cstheme="majorBidi"/>
                <w:sz w:val="24"/>
                <w:szCs w:val="24"/>
              </w:rPr>
              <w:t xml:space="preserve">-Fib   </w:t>
            </w:r>
          </w:p>
        </w:tc>
      </w:tr>
    </w:tbl>
    <w:p w:rsidR="00C1692C" w:rsidRDefault="00C1692C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Spec="outside"/>
        <w:bidiVisual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F833F0" w:rsidTr="00F833F0">
        <w:trPr>
          <w:trHeight w:val="709"/>
        </w:trPr>
        <w:tc>
          <w:tcPr>
            <w:tcW w:w="10774" w:type="dxa"/>
          </w:tcPr>
          <w:p w:rsidR="00F833F0" w:rsidRPr="004B1C00" w:rsidRDefault="00F833F0" w:rsidP="00F833F0">
            <w:pPr>
              <w:rPr>
                <w:rFonts w:cs="B Nazanin"/>
                <w:b/>
                <w:bCs/>
                <w:rtl/>
              </w:rPr>
            </w:pPr>
            <w:r w:rsidRPr="004B1C00">
              <w:rPr>
                <w:rFonts w:cs="B Nazanin" w:hint="cs"/>
                <w:b/>
                <w:bCs/>
                <w:rtl/>
              </w:rPr>
              <w:t xml:space="preserve">سابقه درمان و </w:t>
            </w:r>
            <w:r w:rsidR="00994D64">
              <w:rPr>
                <w:rFonts w:cs="B Nazanin" w:hint="cs"/>
                <w:b/>
                <w:bCs/>
                <w:rtl/>
              </w:rPr>
              <w:t>نتایج آزمایش های قبلی ( تاریخ، مدت و نوع داروی مصرفی ذکر شود )</w:t>
            </w:r>
            <w:r w:rsidRPr="004B1C00">
              <w:rPr>
                <w:rFonts w:cs="B Nazanin" w:hint="cs"/>
                <w:b/>
                <w:bCs/>
                <w:rtl/>
              </w:rPr>
              <w:t xml:space="preserve">: </w:t>
            </w:r>
          </w:p>
          <w:p w:rsidR="00F833F0" w:rsidRPr="004B1C00" w:rsidRDefault="00F833F0" w:rsidP="00F833F0">
            <w:pPr>
              <w:rPr>
                <w:rFonts w:cs="B Nazanin"/>
                <w:b/>
                <w:bCs/>
                <w:rtl/>
              </w:rPr>
            </w:pPr>
          </w:p>
          <w:p w:rsidR="00F833F0" w:rsidRPr="004B1C00" w:rsidRDefault="00F833F0" w:rsidP="00F833F0">
            <w:pPr>
              <w:rPr>
                <w:rtl/>
              </w:rPr>
            </w:pPr>
            <w:r w:rsidRPr="004B1C00">
              <w:rPr>
                <w:rFonts w:cs="B Nazanin" w:hint="cs"/>
                <w:b/>
                <w:bCs/>
                <w:rtl/>
              </w:rPr>
              <w:t xml:space="preserve">مصرف هپارین ( </w:t>
            </w:r>
            <w:r w:rsidR="00994D64">
              <w:rPr>
                <w:rFonts w:cs="B Nazanin" w:hint="cs"/>
                <w:b/>
                <w:bCs/>
                <w:rtl/>
              </w:rPr>
              <w:t>تاریخ و مدت زمان مصرف ذکر شود)</w:t>
            </w:r>
            <w:r w:rsidRPr="004B1C00">
              <w:rPr>
                <w:rFonts w:cs="B Nazanin" w:hint="cs"/>
                <w:b/>
                <w:bCs/>
                <w:rtl/>
              </w:rPr>
              <w:t>:                     ..... / ..... / 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"/>
        <w:bidiVisual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F833F0" w:rsidTr="00F833F0">
        <w:trPr>
          <w:trHeight w:val="1694"/>
        </w:trPr>
        <w:tc>
          <w:tcPr>
            <w:tcW w:w="10774" w:type="dxa"/>
          </w:tcPr>
          <w:p w:rsidR="00F833F0" w:rsidRPr="00F833F0" w:rsidRDefault="00994D64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نمونه مورد نیاز</w:t>
            </w:r>
            <w:r w:rsidR="00F833F0" w:rsidRPr="00F833F0">
              <w:rPr>
                <w:rFonts w:cs="B Nazanin" w:hint="cs"/>
                <w:b/>
                <w:bCs/>
                <w:rtl/>
              </w:rPr>
              <w:t xml:space="preserve">: خون تام روی </w:t>
            </w:r>
            <w:r w:rsidR="00F833F0" w:rsidRPr="00F833F0">
              <w:rPr>
                <w:rFonts w:cs="B Nazanin"/>
                <w:b/>
                <w:bCs/>
              </w:rPr>
              <w:t>EDTA</w:t>
            </w:r>
          </w:p>
          <w:p w:rsidR="00F833F0" w:rsidRPr="00F833F0" w:rsidRDefault="00F833F0" w:rsidP="00F833F0">
            <w:pPr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t>حجم نمون</w:t>
            </w:r>
            <w:r w:rsidR="00994D64">
              <w:rPr>
                <w:rFonts w:cs="B Nazanin" w:hint="cs"/>
                <w:b/>
                <w:bCs/>
                <w:rtl/>
              </w:rPr>
              <w:t>ه مورد نیاز 5 تا 7 میلی لیتر می</w:t>
            </w:r>
            <w:r w:rsidR="00994D64">
              <w:rPr>
                <w:rFonts w:cs="B Nazanin"/>
                <w:b/>
                <w:bCs/>
                <w:rtl/>
              </w:rPr>
              <w:softHyphen/>
            </w:r>
            <w:r w:rsidRPr="00F833F0">
              <w:rPr>
                <w:rFonts w:cs="B Nazanin" w:hint="cs"/>
                <w:b/>
                <w:bCs/>
                <w:rtl/>
              </w:rPr>
              <w:t>باشد</w:t>
            </w:r>
            <w:r w:rsidR="00994D64">
              <w:rPr>
                <w:rFonts w:cs="B Nazanin" w:hint="cs"/>
                <w:b/>
                <w:bCs/>
                <w:rtl/>
              </w:rPr>
              <w:t>.</w:t>
            </w:r>
          </w:p>
          <w:p w:rsidR="00F833F0" w:rsidRDefault="00994D64" w:rsidP="00F833F0">
            <w:pPr>
              <w:rPr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شرایط نگهداری</w:t>
            </w:r>
            <w:r w:rsidR="00F833F0" w:rsidRPr="00F833F0">
              <w:rPr>
                <w:rFonts w:cs="B Nazanin" w:hint="cs"/>
                <w:b/>
                <w:bCs/>
                <w:rtl/>
              </w:rPr>
              <w:t>: ترانسلوکاسیون ها کمتر از 1 روز در دمای یخچال ( 2- 8 درجه ) و موتاسیون ژن های انعقادی و دار</w:t>
            </w:r>
            <w:r>
              <w:rPr>
                <w:rFonts w:cs="B Nazanin" w:hint="cs"/>
                <w:b/>
                <w:bCs/>
                <w:rtl/>
              </w:rPr>
              <w:t>ویی 3 روز در دمای نقل و انتقال:</w:t>
            </w:r>
            <w:r w:rsidR="00F833F0" w:rsidRPr="00F833F0">
              <w:rPr>
                <w:rFonts w:cs="B Nazanin" w:hint="cs"/>
                <w:b/>
                <w:bCs/>
                <w:rtl/>
              </w:rPr>
              <w:t xml:space="preserve"> در دمای محیط یا یخچال صورت گیرد.</w:t>
            </w:r>
          </w:p>
        </w:tc>
      </w:tr>
    </w:tbl>
    <w:p w:rsidR="00074DA2" w:rsidRPr="00994D64" w:rsidRDefault="00074DA2" w:rsidP="00994D64">
      <w:pPr>
        <w:tabs>
          <w:tab w:val="left" w:pos="1347"/>
        </w:tabs>
      </w:pPr>
      <w:bookmarkStart w:id="0" w:name="_GoBack"/>
      <w:bookmarkEnd w:id="0"/>
    </w:p>
    <w:sectPr w:rsidR="00074DA2" w:rsidRPr="00994D64" w:rsidSect="00B615FA">
      <w:headerReference w:type="default" r:id="rId6"/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E8" w:rsidRDefault="00E013E8" w:rsidP="00E013E8">
      <w:pPr>
        <w:spacing w:after="0" w:line="240" w:lineRule="auto"/>
      </w:pPr>
      <w:r>
        <w:separator/>
      </w:r>
    </w:p>
  </w:endnote>
  <w:endnote w:type="continuationSeparator" w:id="0">
    <w:p w:rsidR="00E013E8" w:rsidRDefault="00E013E8" w:rsidP="00E0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E8" w:rsidRDefault="00E013E8" w:rsidP="00E013E8">
      <w:pPr>
        <w:spacing w:after="0" w:line="240" w:lineRule="auto"/>
      </w:pPr>
      <w:r>
        <w:separator/>
      </w:r>
    </w:p>
  </w:footnote>
  <w:footnote w:type="continuationSeparator" w:id="0">
    <w:p w:rsidR="00E013E8" w:rsidRDefault="00E013E8" w:rsidP="00E0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XSpec="center" w:tblpY="-870"/>
      <w:bidiVisual/>
      <w:tblW w:w="10632" w:type="dxa"/>
      <w:tblLook w:val="04A0" w:firstRow="1" w:lastRow="0" w:firstColumn="1" w:lastColumn="0" w:noHBand="0" w:noVBand="1"/>
    </w:tblPr>
    <w:tblGrid>
      <w:gridCol w:w="1843"/>
      <w:gridCol w:w="6662"/>
      <w:gridCol w:w="2127"/>
    </w:tblGrid>
    <w:tr w:rsidR="00074DA2" w:rsidTr="00074DA2">
      <w:trPr>
        <w:trHeight w:val="986"/>
      </w:trPr>
      <w:tc>
        <w:tcPr>
          <w:tcW w:w="1843" w:type="dxa"/>
        </w:tcPr>
        <w:p w:rsidR="00E013E8" w:rsidRDefault="00E013E8" w:rsidP="00E013E8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28D8804C" wp14:editId="14BEBDD3">
                <wp:extent cx="619125" cy="64352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kimlogo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422" cy="6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E013E8" w:rsidRPr="000A37A1" w:rsidRDefault="00E013E8" w:rsidP="00E013E8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0A37A1">
            <w:rPr>
              <w:rFonts w:cs="B Nazanin" w:hint="cs"/>
              <w:b/>
              <w:bCs/>
              <w:sz w:val="24"/>
              <w:szCs w:val="24"/>
              <w:rtl/>
            </w:rPr>
            <w:t>آزمایشگاه تشخیص طبی حکیم</w:t>
          </w:r>
        </w:p>
        <w:p w:rsidR="00E013E8" w:rsidRPr="000A37A1" w:rsidRDefault="00E013E8" w:rsidP="00E013E8">
          <w:pPr>
            <w:rPr>
              <w:rFonts w:cs="B Nazanin"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پرسشنامه آزمایش های ترانلوکاسیون ، موتاسیون ژن های انعقادی و مقاومت دارویی</w:t>
          </w:r>
        </w:p>
      </w:tc>
      <w:tc>
        <w:tcPr>
          <w:tcW w:w="2127" w:type="dxa"/>
        </w:tcPr>
        <w:p w:rsidR="00E013E8" w:rsidRDefault="00E013E8" w:rsidP="00E013E8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696E9B52" wp14:editId="5349813D">
                <wp:extent cx="550314" cy="552219"/>
                <wp:effectExtent l="0" t="0" r="254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20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53" cy="553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13E8" w:rsidRDefault="00E013E8" w:rsidP="00E013E8">
    <w:pPr>
      <w:pStyle w:val="Header"/>
      <w:rPr>
        <w:rtl/>
      </w:rPr>
    </w:pPr>
  </w:p>
  <w:p w:rsidR="00E013E8" w:rsidRPr="00E013E8" w:rsidRDefault="00E013E8" w:rsidP="00E01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E8"/>
    <w:rsid w:val="00074DA2"/>
    <w:rsid w:val="00222D03"/>
    <w:rsid w:val="002E646A"/>
    <w:rsid w:val="00495446"/>
    <w:rsid w:val="004A0167"/>
    <w:rsid w:val="004B1C00"/>
    <w:rsid w:val="006A32ED"/>
    <w:rsid w:val="00994D64"/>
    <w:rsid w:val="00B615FA"/>
    <w:rsid w:val="00BF10C9"/>
    <w:rsid w:val="00C1692C"/>
    <w:rsid w:val="00C37A7C"/>
    <w:rsid w:val="00E013E8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8AB2C"/>
  <w15:docId w15:val="{9CE6EF18-50C1-4732-97CD-D7028F0C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E8"/>
  </w:style>
  <w:style w:type="paragraph" w:styleId="Footer">
    <w:name w:val="footer"/>
    <w:basedOn w:val="Normal"/>
    <w:link w:val="FooterChar"/>
    <w:uiPriority w:val="99"/>
    <w:unhideWhenUsed/>
    <w:rsid w:val="00E0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E8"/>
  </w:style>
  <w:style w:type="paragraph" w:styleId="BalloonText">
    <w:name w:val="Balloon Text"/>
    <w:basedOn w:val="Normal"/>
    <w:link w:val="BalloonTextChar"/>
    <w:uiPriority w:val="99"/>
    <w:semiHidden/>
    <w:unhideWhenUsed/>
    <w:rsid w:val="00E0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3</cp:revision>
  <cp:lastPrinted>2017-08-13T12:30:00Z</cp:lastPrinted>
  <dcterms:created xsi:type="dcterms:W3CDTF">2017-08-13T11:08:00Z</dcterms:created>
  <dcterms:modified xsi:type="dcterms:W3CDTF">2019-04-19T09:21:00Z</dcterms:modified>
</cp:coreProperties>
</file>